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4612" w14:textId="77777777" w:rsidR="00D0066A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rekrutacji i uczestnictwa w projekcie pn. „Równe szanse - kompleksowe usługi społeczno-zdrowotne na rzecz seniorów i osób                            z niepełnosprawnościami"</w:t>
      </w:r>
    </w:p>
    <w:p w14:paraId="29460C83" w14:textId="77777777" w:rsidR="00D0066A" w:rsidRDefault="00000000">
      <w:pPr>
        <w:pStyle w:val="Standard"/>
        <w:jc w:val="center"/>
      </w:pPr>
      <w:r>
        <w:rPr>
          <w:b/>
          <w:bCs/>
        </w:rPr>
        <w:t xml:space="preserve"> </w:t>
      </w:r>
      <w:r>
        <w:t>w ramach programu regionalnego Fundusze Europejskie dla Pomorza 2021-2027</w:t>
      </w:r>
    </w:p>
    <w:p w14:paraId="7F5ACD9C" w14:textId="77777777" w:rsidR="00D0066A" w:rsidRDefault="00000000">
      <w:pPr>
        <w:pStyle w:val="Standard"/>
        <w:jc w:val="center"/>
      </w:pPr>
      <w:r>
        <w:t>Projekt dofinansowany ze środków Europejskiego Funduszu Społecznego Plus (EFS+)</w:t>
      </w:r>
    </w:p>
    <w:p w14:paraId="598ED993" w14:textId="77777777" w:rsidR="00D0066A" w:rsidRDefault="00000000">
      <w:pPr>
        <w:pStyle w:val="Standard"/>
        <w:jc w:val="center"/>
      </w:pPr>
      <w:r>
        <w:t>Działanie 5.17. Usługi społeczne i zdrowotne</w:t>
      </w:r>
    </w:p>
    <w:p w14:paraId="583DB8A3" w14:textId="77777777" w:rsidR="00D0066A" w:rsidRDefault="00D0066A">
      <w:pPr>
        <w:pStyle w:val="Standard"/>
        <w:rPr>
          <w:b/>
          <w:bCs/>
        </w:rPr>
      </w:pPr>
    </w:p>
    <w:p w14:paraId="52E1360E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14:paraId="24E3A60F" w14:textId="77777777" w:rsidR="00D0066A" w:rsidRDefault="00000000">
      <w:pPr>
        <w:pStyle w:val="Standard"/>
        <w:jc w:val="both"/>
      </w:pPr>
      <w:r>
        <w:t xml:space="preserve"> Użyte w Regulaminie zwroty oznaczają:</w:t>
      </w:r>
    </w:p>
    <w:p w14:paraId="4C66414D" w14:textId="77777777" w:rsidR="00D0066A" w:rsidRDefault="00000000">
      <w:pPr>
        <w:pStyle w:val="Standard"/>
        <w:jc w:val="both"/>
      </w:pPr>
      <w:r>
        <w:t xml:space="preserve">1. </w:t>
      </w:r>
      <w:r>
        <w:rPr>
          <w:b/>
          <w:bCs/>
        </w:rPr>
        <w:t>Wnioskodawca/Partner Wiodący</w:t>
      </w:r>
      <w:r>
        <w:t xml:space="preserve"> (instytucja realizująca projekt-realizator): FUNDACJA PROGRESJA, UL. DEOTYMY 24, 76-200 SŁUPSK</w:t>
      </w:r>
    </w:p>
    <w:p w14:paraId="09E3F520" w14:textId="77777777" w:rsidR="00D0066A" w:rsidRDefault="00000000">
      <w:pPr>
        <w:pStyle w:val="Standard"/>
        <w:jc w:val="both"/>
      </w:pPr>
      <w:r>
        <w:t>2</w:t>
      </w:r>
      <w:r>
        <w:rPr>
          <w:b/>
          <w:bCs/>
        </w:rPr>
        <w:t>. Partner 1</w:t>
      </w:r>
      <w:r>
        <w:t xml:space="preserve">: </w:t>
      </w:r>
      <w:bookmarkStart w:id="0" w:name="_Hlk194561358"/>
      <w:r>
        <w:t>instytucja/organizacja wymieniona we wniosku projektowym, realizująca projekt wspólnie z Wnioskodawcą na warunkach określonych w umowie o partnerstwie:</w:t>
      </w:r>
      <w:bookmarkEnd w:id="0"/>
      <w:r>
        <w:t xml:space="preserve"> STOWARZYSZENIE HORYZONT z siedzibą w Słupsku, ul. Jaracza 9, 76-200 Słupsk</w:t>
      </w:r>
    </w:p>
    <w:p w14:paraId="093F916A" w14:textId="77777777" w:rsidR="00D0066A" w:rsidRDefault="00000000">
      <w:pPr>
        <w:pStyle w:val="Standard"/>
        <w:jc w:val="both"/>
      </w:pPr>
      <w:r>
        <w:t xml:space="preserve">3. </w:t>
      </w:r>
      <w:r>
        <w:rPr>
          <w:b/>
          <w:bCs/>
        </w:rPr>
        <w:t xml:space="preserve">Partner </w:t>
      </w:r>
      <w:proofErr w:type="gramStart"/>
      <w:r>
        <w:rPr>
          <w:b/>
          <w:bCs/>
        </w:rPr>
        <w:t>2</w:t>
      </w:r>
      <w:r>
        <w:t>:  instytucja</w:t>
      </w:r>
      <w:proofErr w:type="gramEnd"/>
      <w:r>
        <w:t>/organizacja wymieniona we wniosku projektowym, realizująca projekt wspólnie z Wnioskodawcą na warunkach określonych w umowie o partnerstwie: AVENIR SP. Z O.O.         z siedzibą w Słupsku, ul. Kilińskiego 47A/2, 76-200 Słupsk</w:t>
      </w:r>
    </w:p>
    <w:p w14:paraId="66BA393E" w14:textId="77777777" w:rsidR="00D0066A" w:rsidRDefault="00000000">
      <w:pPr>
        <w:pStyle w:val="Standard"/>
        <w:jc w:val="both"/>
      </w:pPr>
      <w:r>
        <w:t xml:space="preserve">4. </w:t>
      </w:r>
      <w:r>
        <w:rPr>
          <w:b/>
          <w:bCs/>
        </w:rPr>
        <w:t>Partner 3</w:t>
      </w:r>
      <w:r>
        <w:t>: instytucja/organizacja wymieniona we wniosku projektowym, realizująca projekt wspólnie z Wnioskodawcą na warunkach określonych w umowie o partnerstwie: GMINA KOBYLNICA, z siedzibą w Kobylnicy, ul. Główna 20, 76-251 Kobylnica</w:t>
      </w:r>
    </w:p>
    <w:p w14:paraId="1132E009" w14:textId="77777777" w:rsidR="00D0066A" w:rsidRDefault="00000000">
      <w:pPr>
        <w:pStyle w:val="Standard"/>
        <w:jc w:val="both"/>
      </w:pPr>
      <w:r>
        <w:t xml:space="preserve">5. </w:t>
      </w:r>
      <w:r>
        <w:rPr>
          <w:b/>
          <w:bCs/>
        </w:rPr>
        <w:t>Partner 4:</w:t>
      </w:r>
      <w:r>
        <w:t xml:space="preserve"> instytucja/organizacja wymieniona we wniosku projektowym, realizująca projekt wspólnie z Wnioskodawcą na warunkach określonych w umowie o partnerstwie: GMINA DĘBNICA KASZUBSKA, z siedzibą w Dębnicy Kaszubskiej ul. Ks. Antoniego Kani 16a, 76-248 Dębnica Kaszubska</w:t>
      </w:r>
    </w:p>
    <w:p w14:paraId="67C96AF2" w14:textId="77777777" w:rsidR="00D0066A" w:rsidRDefault="00000000">
      <w:pPr>
        <w:pStyle w:val="Standard"/>
        <w:jc w:val="both"/>
      </w:pPr>
      <w:r>
        <w:t xml:space="preserve">6. </w:t>
      </w:r>
      <w:r>
        <w:rPr>
          <w:b/>
          <w:bCs/>
        </w:rPr>
        <w:t>Partner 5</w:t>
      </w:r>
      <w:r>
        <w:t>: instytucja/organizacja wymieniona we wniosku projektowym, realizująca projekt wspólnie z Wnioskodawcą na warunkach określonych w umowie o partnerstwie: GMINA POTĘGOWO, z siedzibą w Potęgowie, ul. Kościuszki 5, 76-230 Potęgowo.</w:t>
      </w:r>
    </w:p>
    <w:p w14:paraId="3518B02A" w14:textId="77777777" w:rsidR="00D0066A" w:rsidRDefault="00000000">
      <w:pPr>
        <w:pStyle w:val="Standard"/>
        <w:jc w:val="both"/>
      </w:pPr>
      <w:r>
        <w:t xml:space="preserve">7. </w:t>
      </w:r>
      <w:r>
        <w:rPr>
          <w:b/>
          <w:bCs/>
        </w:rPr>
        <w:t>Projekt:</w:t>
      </w:r>
      <w:r>
        <w:t xml:space="preserve"> oznacza Projekt pn.: </w:t>
      </w:r>
      <w:r>
        <w:rPr>
          <w:b/>
          <w:bCs/>
        </w:rPr>
        <w:t>„Równe szanse - kompleksowe usługi społeczno-zdrowotne na rzecz seniorów i osób z niepełnosprawnościami"</w:t>
      </w:r>
      <w:r>
        <w:t xml:space="preserve"> (nr wniosku o dofinansowanie projektu: </w:t>
      </w:r>
      <w:r>
        <w:rPr>
          <w:color w:val="1F1F1F"/>
          <w:sz w:val="24"/>
          <w:szCs w:val="24"/>
          <w:shd w:val="clear" w:color="auto" w:fill="FFFFFF"/>
        </w:rPr>
        <w:t>FEPM.05.17-IZ.00-0114/24</w:t>
      </w:r>
      <w:r>
        <w:t>), dofinansowany ze środków Europejskiego Funduszu Społecznego Plus (EFS+) w ramach programu regionalnego Fundusze Europejskie dla Pomorza 2021-2027 (FEP 2021-2027), Priorytet 5 Fundusze europejskie dla silnego społecznie Pomorza, Działanie 5.17. Usługi społeczne i zdrowotne.</w:t>
      </w:r>
    </w:p>
    <w:p w14:paraId="0F2B0477" w14:textId="77777777" w:rsidR="00D0066A" w:rsidRDefault="00000000">
      <w:pPr>
        <w:pStyle w:val="Standard"/>
        <w:jc w:val="both"/>
      </w:pPr>
      <w:r>
        <w:lastRenderedPageBreak/>
        <w:t>8. Uczestnik/uczestniczka projektu: osoba, która po spełnieniu wymogów określonych we wniosku                     o dofinansowanie projektu i Regulaminie, została zakwalifikowana do uczestnictwa w projekcie                       i podpisała deklarację uczestnictwa w nim.</w:t>
      </w:r>
    </w:p>
    <w:p w14:paraId="00570E78" w14:textId="77777777" w:rsidR="00D0066A" w:rsidRDefault="00000000">
      <w:pPr>
        <w:pStyle w:val="Standard"/>
        <w:jc w:val="both"/>
      </w:pPr>
      <w:r>
        <w:t>9. Biuro projektu: siedziba wnioskodawcy i partnerów.</w:t>
      </w:r>
    </w:p>
    <w:p w14:paraId="26D2BEC7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 w14:paraId="7DEDA013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Informacje ogólne</w:t>
      </w:r>
    </w:p>
    <w:p w14:paraId="2022E194" w14:textId="77777777" w:rsidR="00D0066A" w:rsidRDefault="00000000">
      <w:pPr>
        <w:pStyle w:val="Standard"/>
        <w:jc w:val="both"/>
      </w:pPr>
      <w:r>
        <w:t xml:space="preserve">1. Regulamin określa proces rekrutacji i uczestnictwa w projekcie pn. </w:t>
      </w:r>
      <w:r>
        <w:rPr>
          <w:b/>
          <w:bCs/>
        </w:rPr>
        <w:t>„Równe szanse - kompleksowe usługi społeczno-zdrowotne na rzecz seniorów i osób z niepełnosprawnościami"</w:t>
      </w:r>
      <w:r>
        <w:t>.</w:t>
      </w:r>
    </w:p>
    <w:p w14:paraId="7534BB29" w14:textId="77777777" w:rsidR="00D0066A" w:rsidRDefault="00000000">
      <w:pPr>
        <w:pStyle w:val="Standard"/>
        <w:jc w:val="both"/>
      </w:pPr>
      <w:r>
        <w:t xml:space="preserve">2. Celem projektu </w:t>
      </w:r>
      <w:r>
        <w:rPr>
          <w:color w:val="222222"/>
          <w:shd w:val="clear" w:color="auto" w:fill="FFFFFF"/>
        </w:rPr>
        <w:t>jest zwiększenie równego i szybkiego dostępu do zdeinsytucjonalizowanych usług społecznych i zdrowotnych, świadczonych w lokalnej społeczności poprzez stworzenie trwałych miejsc świadczenia usług społeczno-zdrowotnych.</w:t>
      </w:r>
    </w:p>
    <w:p w14:paraId="02FD1048" w14:textId="77777777" w:rsidR="00D0066A" w:rsidRDefault="00000000">
      <w:pPr>
        <w:pStyle w:val="Standard"/>
        <w:jc w:val="both"/>
      </w:pPr>
      <w:r>
        <w:t>3. Projekt zakłada działania:</w:t>
      </w:r>
    </w:p>
    <w:p w14:paraId="41663B5A" w14:textId="77777777" w:rsidR="00D0066A" w:rsidRDefault="00000000">
      <w:pPr>
        <w:pStyle w:val="Standard"/>
        <w:jc w:val="both"/>
      </w:pPr>
      <w:r>
        <w:t>* opracowanie indywidualnych ścieżek wsparcia (IŚW) dla każdego uczestnika projektu,</w:t>
      </w:r>
    </w:p>
    <w:p w14:paraId="09FFB116" w14:textId="77777777" w:rsidR="00D0066A" w:rsidRDefault="00000000">
      <w:pPr>
        <w:pStyle w:val="Standard"/>
        <w:jc w:val="both"/>
      </w:pPr>
      <w:r>
        <w:t xml:space="preserve">* rozwój usług pielęgnacyjnych, opiekuńczych i specjalistycznych usług opiekuńczych (rehabilitacyjnych), opiekę </w:t>
      </w:r>
      <w:proofErr w:type="spellStart"/>
      <w:r>
        <w:t>wytchnieniową</w:t>
      </w:r>
      <w:proofErr w:type="spellEnd"/>
      <w:r>
        <w:t xml:space="preserve"> – dzienną stacjonarną, usługę „złotej rączki” (w miejscu zamieszkania) oraz usługi asystenckie,</w:t>
      </w:r>
    </w:p>
    <w:p w14:paraId="313944C0" w14:textId="77777777" w:rsidR="00D0066A" w:rsidRDefault="00000000">
      <w:pPr>
        <w:pStyle w:val="Standard"/>
        <w:jc w:val="both"/>
      </w:pPr>
      <w:r>
        <w:t>* rozwój innowacyjnych usług opartych o nowoczesne technologie (inteligentny asystent),</w:t>
      </w:r>
    </w:p>
    <w:p w14:paraId="7D0F5695" w14:textId="77777777" w:rsidR="00D0066A" w:rsidRDefault="00000000">
      <w:pPr>
        <w:pStyle w:val="Standard"/>
        <w:jc w:val="both"/>
      </w:pPr>
      <w:r>
        <w:t>* utworzenie centrum wsparcia dla osób z niepełnosprawnościami i seniorów (CWONIS),</w:t>
      </w:r>
    </w:p>
    <w:p w14:paraId="5079945B" w14:textId="77777777" w:rsidR="00D0066A" w:rsidRDefault="00000000">
      <w:pPr>
        <w:pStyle w:val="Standard"/>
        <w:jc w:val="both"/>
      </w:pPr>
      <w:r>
        <w:t>* wsparcie opiekunów faktycznych/nieformalnych, udzielanie wsparcia psychologicznego, grupy wsparcia oraz podnoszenie kompetencji w zakresie sprawowania opieki.</w:t>
      </w:r>
    </w:p>
    <w:p w14:paraId="633D350F" w14:textId="77777777" w:rsidR="00D0066A" w:rsidRDefault="00D0066A">
      <w:pPr>
        <w:pStyle w:val="Standard"/>
        <w:jc w:val="both"/>
      </w:pPr>
    </w:p>
    <w:p w14:paraId="3E295DA9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3</w:t>
      </w:r>
    </w:p>
    <w:p w14:paraId="53FAF4BC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Opis grup docelowych</w:t>
      </w:r>
    </w:p>
    <w:p w14:paraId="5D8BB00E" w14:textId="77777777" w:rsidR="00D0066A" w:rsidRDefault="00000000">
      <w:pPr>
        <w:pStyle w:val="Standard"/>
        <w:jc w:val="both"/>
      </w:pPr>
      <w:r>
        <w:t>1. Projekt skierowany jest do 325 osób niesamodzielnych, samotnych, zagrożonych ubóstwem                                 i wykluczeniem społecznym w szczególności do: seniorów, osób z niepełnosprawnościami, z chorobami przewlekłymi, osób potrzebujących wsparcia w codziennym funkcjonowaniu, zamieszkujących Słupsk   i powiat słupski, w tym z obszarów zdegradowanych i o ponadprzeciętnym poziomie wykluczenia społecznego oraz średnich miast tracących funkcje społeczno-gospodarcze.</w:t>
      </w:r>
    </w:p>
    <w:p w14:paraId="52EDE82B" w14:textId="77777777" w:rsidR="00D0066A" w:rsidRDefault="00000000">
      <w:pPr>
        <w:pStyle w:val="Standard"/>
        <w:jc w:val="both"/>
      </w:pPr>
      <w:r>
        <w:lastRenderedPageBreak/>
        <w:t>2. Wsparcie w ramach projektu adresowane jest do osób zagrożonych ubóstwem lub wykluczeniem społecznym, zamieszkujących miasto Słupsk i powiat słupski (Gmina Kobylnica, Dębnica Kaszubska, Potęgowo).</w:t>
      </w:r>
    </w:p>
    <w:p w14:paraId="0BF0A6B8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§4</w:t>
      </w:r>
    </w:p>
    <w:p w14:paraId="2A38A64E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Proces rekrutacji</w:t>
      </w:r>
    </w:p>
    <w:p w14:paraId="5A50C06C" w14:textId="77777777" w:rsidR="00D0066A" w:rsidRDefault="00000000">
      <w:pPr>
        <w:pStyle w:val="Standard"/>
        <w:jc w:val="both"/>
      </w:pPr>
      <w:r>
        <w:t>1. Proces rekrutacji jest realizowany w sposób ciągły, z wykorzystaniem różnorodnych narzędzi m.in. poprzez zamieszczenie informacji o projekcie na stronach internetowych i portalach społecznościowych Wnioskodawcy/Partnera Wiodącego i Partnerów oraz w miejscach ogólnodostępnych, w tym                                w siedzibach Wnioskodawcy/Partnera Wiodącego i Partnerów; poprzez współpracę z pracownikami socjalnymi.</w:t>
      </w:r>
    </w:p>
    <w:p w14:paraId="66F2D104" w14:textId="77777777" w:rsidR="00D0066A" w:rsidRDefault="00000000">
      <w:pPr>
        <w:pStyle w:val="Standard"/>
        <w:jc w:val="both"/>
      </w:pPr>
      <w:r>
        <w:t>2. Zakłada się równy dostęp do udziału w projekcie wszystkich osób z grupy docelowej.</w:t>
      </w:r>
    </w:p>
    <w:p w14:paraId="0C4961DE" w14:textId="77777777" w:rsidR="00D0066A" w:rsidRDefault="00000000">
      <w:pPr>
        <w:pStyle w:val="Standard"/>
        <w:jc w:val="both"/>
      </w:pPr>
      <w:r>
        <w:t>3. Przebieg procesu rekrutacji:</w:t>
      </w:r>
    </w:p>
    <w:p w14:paraId="763C4C33" w14:textId="77777777" w:rsidR="00D0066A" w:rsidRDefault="00000000">
      <w:pPr>
        <w:pStyle w:val="Standard"/>
        <w:jc w:val="both"/>
      </w:pPr>
      <w:r>
        <w:t>a. Etap I – informacja nt. projektu:</w:t>
      </w:r>
    </w:p>
    <w:p w14:paraId="02443678" w14:textId="77777777" w:rsidR="00D0066A" w:rsidRDefault="00000000">
      <w:pPr>
        <w:pStyle w:val="Standard"/>
        <w:jc w:val="both"/>
      </w:pPr>
      <w:r>
        <w:t>‒ udostępnienie informacji o projekcie m.in.: na stronach internetowych, portalach społecznościowych, w ogłoszeniach, poprzez pracowników socjalnych.</w:t>
      </w:r>
    </w:p>
    <w:p w14:paraId="0DEA4954" w14:textId="77777777" w:rsidR="00D0066A" w:rsidRDefault="00000000">
      <w:pPr>
        <w:pStyle w:val="Standard"/>
        <w:jc w:val="both"/>
      </w:pPr>
      <w:r>
        <w:t>b. Etap II – nabór osób zainteresowanych:</w:t>
      </w:r>
    </w:p>
    <w:p w14:paraId="700BC3AD" w14:textId="77777777" w:rsidR="00D0066A" w:rsidRDefault="00000000">
      <w:pPr>
        <w:pStyle w:val="Standard"/>
        <w:jc w:val="both"/>
      </w:pPr>
      <w:r>
        <w:t>‒ wypełnienie przez potencjalnych uczestników/uczestniczki formularzy zgłoszeniowych zawierających informacje niezbędne do zakwalifikowania do projektu,</w:t>
      </w:r>
    </w:p>
    <w:p w14:paraId="0E5EC27B" w14:textId="77777777" w:rsidR="00D0066A" w:rsidRDefault="00000000">
      <w:pPr>
        <w:pStyle w:val="Standard"/>
        <w:jc w:val="both"/>
      </w:pPr>
      <w:r>
        <w:t>‒ złożenie wypełnionych formularzy w siedzibie Wnioskodawcy/Partnerów,</w:t>
      </w:r>
    </w:p>
    <w:p w14:paraId="64579B1C" w14:textId="77777777" w:rsidR="00D0066A" w:rsidRDefault="00000000">
      <w:pPr>
        <w:pStyle w:val="Standard"/>
        <w:jc w:val="both"/>
      </w:pPr>
      <w:r>
        <w:t>‒ weryfikacja formularzy przez zespół projektowy pod kątem spełnienia kryteriów określonych                     w projekcie,</w:t>
      </w:r>
    </w:p>
    <w:p w14:paraId="0FE66461" w14:textId="77777777" w:rsidR="00D0066A" w:rsidRDefault="00000000">
      <w:pPr>
        <w:pStyle w:val="Standard"/>
        <w:jc w:val="both"/>
      </w:pPr>
      <w:r>
        <w:t>‒ rozmowa kwalifikacyjna/wywiad środowiskowy z potencjalnym kandydatem/kandydatką,</w:t>
      </w:r>
    </w:p>
    <w:p w14:paraId="14A5A399" w14:textId="77777777" w:rsidR="00D0066A" w:rsidRDefault="00000000">
      <w:pPr>
        <w:pStyle w:val="Standard"/>
        <w:jc w:val="both"/>
      </w:pPr>
      <w:r>
        <w:t>‒ opinia pisemna dot. kandydata/kandydatki, zawierająca m.in. potwierdzenie kryteriów kwalifikowalności oraz specyficzne indywidualne uwarunkowania społeczno-bytowe mogące mieć wpływ na pilną potrzebę objęcia wsparciem.</w:t>
      </w:r>
    </w:p>
    <w:p w14:paraId="3181ED90" w14:textId="77777777" w:rsidR="00D0066A" w:rsidRDefault="00000000">
      <w:pPr>
        <w:pStyle w:val="Standard"/>
        <w:jc w:val="both"/>
      </w:pPr>
      <w:r>
        <w:t>c. Etap III – dobór uczestników/uczestniczek do projektu na podstawie kryteriów rekrutacji:</w:t>
      </w:r>
    </w:p>
    <w:p w14:paraId="60838401" w14:textId="77777777" w:rsidR="00D0066A" w:rsidRDefault="00000000">
      <w:pPr>
        <w:pStyle w:val="Standard"/>
        <w:jc w:val="both"/>
      </w:pPr>
      <w:r>
        <w:t>‒ osoby zamieszkujące zdegradowany infrastrukturalnie obszar miasta Słupsk lub powiat słupski – 10 pkt.</w:t>
      </w:r>
    </w:p>
    <w:p w14:paraId="306BFA46" w14:textId="77777777" w:rsidR="00D0066A" w:rsidRDefault="00000000">
      <w:pPr>
        <w:pStyle w:val="Standard"/>
        <w:jc w:val="both"/>
      </w:pPr>
      <w:r>
        <w:t>‒ osoby zagrożone wykluczeniem społecznym – 10 pkt.</w:t>
      </w:r>
    </w:p>
    <w:p w14:paraId="396D1616" w14:textId="77777777" w:rsidR="00D0066A" w:rsidRDefault="00000000">
      <w:pPr>
        <w:pStyle w:val="Standard"/>
        <w:jc w:val="both"/>
      </w:pPr>
      <w:r>
        <w:lastRenderedPageBreak/>
        <w:t>‒ osoby doświadczające wielokrotnego wykluczenia społecznego – 5 pkt. za każdą przesłankę.</w:t>
      </w:r>
    </w:p>
    <w:p w14:paraId="28F52ED9" w14:textId="77777777" w:rsidR="00D0066A" w:rsidRDefault="00000000">
      <w:pPr>
        <w:pStyle w:val="Standard"/>
        <w:jc w:val="both"/>
      </w:pPr>
      <w:r>
        <w:t>‒ osoby korzystające z Programu Operacyjnego Pomoc Żywnościowa – 5 pkt.</w:t>
      </w:r>
    </w:p>
    <w:p w14:paraId="6113010A" w14:textId="77777777" w:rsidR="00D0066A" w:rsidRDefault="00000000">
      <w:pPr>
        <w:pStyle w:val="Standard"/>
        <w:jc w:val="both"/>
      </w:pPr>
      <w:r>
        <w:t>‒ osoby z niepełnosprawnościami – 5 pkt.</w:t>
      </w:r>
    </w:p>
    <w:p w14:paraId="311BBE0A" w14:textId="77777777" w:rsidR="00D0066A" w:rsidRDefault="00000000">
      <w:pPr>
        <w:pStyle w:val="Standard"/>
        <w:jc w:val="both"/>
      </w:pPr>
      <w:r>
        <w:t>‒ osoby ze znacznym lub umiarkowanym stopniem niepełnosprawności – dodatkowych 5 pkt.</w:t>
      </w:r>
    </w:p>
    <w:p w14:paraId="10566492" w14:textId="77777777" w:rsidR="00D0066A" w:rsidRDefault="00000000">
      <w:pPr>
        <w:pStyle w:val="Standard"/>
        <w:jc w:val="both"/>
      </w:pPr>
      <w:r>
        <w:t>‒ osoby z niepełnosprawnością sprzężoną – dodatkowych 5 pkt.</w:t>
      </w:r>
    </w:p>
    <w:p w14:paraId="5D5CEDD5" w14:textId="77777777" w:rsidR="00D0066A" w:rsidRDefault="00000000">
      <w:pPr>
        <w:pStyle w:val="Standard"/>
        <w:jc w:val="both"/>
      </w:pPr>
      <w:r>
        <w:t xml:space="preserve"> d. Etap IV – opracowanie Indywidualnej Ścieżki Wsparcia na podstawie przeprowadzonej diagnozy                   i kierowanie uczestników/uczestniczek do odpowiednich działań w Projekcie.</w:t>
      </w:r>
    </w:p>
    <w:p w14:paraId="511CF871" w14:textId="77777777" w:rsidR="00D0066A" w:rsidRDefault="00000000">
      <w:pPr>
        <w:pStyle w:val="Standard"/>
        <w:jc w:val="both"/>
      </w:pPr>
      <w:r>
        <w:t>3. O zakwalifikowaniu do projektu decydować będzie liczba otrzymanych punktów. W przypadku wątpliwości co do zakwalifikowania osoby do projektu, przeprowadzona zostanie dodatkowa weryfikacja sytuacji problemowych przez zespół rekrutacyjny. Każdy Partner, rekrutujący osoby do projektu, opracuje listę podstawową i listę rezerwową uczestników/uczestniczek projektu.</w:t>
      </w:r>
    </w:p>
    <w:p w14:paraId="5F73EEC0" w14:textId="77777777" w:rsidR="00D0066A" w:rsidRDefault="00000000">
      <w:pPr>
        <w:pStyle w:val="Standard"/>
        <w:jc w:val="both"/>
      </w:pPr>
      <w:r>
        <w:t>4. W przypadku rezygnacji uczestnika/uczestniczki z udziału w projekcie, do projektu zostanie skierowana kolejna osoba z listy rezerwowej spełniająca określone kryteria.</w:t>
      </w:r>
    </w:p>
    <w:p w14:paraId="7D9B2492" w14:textId="77777777" w:rsidR="00D0066A" w:rsidRDefault="00000000">
      <w:pPr>
        <w:pStyle w:val="Standard"/>
        <w:jc w:val="both"/>
      </w:pPr>
      <w:r>
        <w:t>5. Zespół projektowy zaangażowany w proces rekrutacji przestrzegać będzie zasad równości płci                        i niedyskryminowania uczestników/uczestniczek projektu.</w:t>
      </w:r>
    </w:p>
    <w:p w14:paraId="43D6F9AA" w14:textId="77777777" w:rsidR="00D0066A" w:rsidRDefault="00D0066A">
      <w:pPr>
        <w:pStyle w:val="Standard"/>
        <w:jc w:val="both"/>
      </w:pPr>
    </w:p>
    <w:p w14:paraId="2934B591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5</w:t>
      </w:r>
    </w:p>
    <w:p w14:paraId="6626481A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Zadania i formy wsparcia uczestników/uczestniczek w projekcie</w:t>
      </w:r>
    </w:p>
    <w:p w14:paraId="65A8F1C6" w14:textId="77777777" w:rsidR="00D0066A" w:rsidRDefault="00000000">
      <w:pPr>
        <w:pStyle w:val="Standard"/>
        <w:jc w:val="both"/>
      </w:pPr>
      <w:r>
        <w:t>1. Każda osoba, biorąca udział w projekcie, ma możliwość skorzystania z różnych form wsparcia, zgodnie z opracowaną wspólnie z personelem projektu Indywidualną Ścieżką Wsparcia.</w:t>
      </w:r>
    </w:p>
    <w:p w14:paraId="1D501B17" w14:textId="77777777" w:rsidR="00D0066A" w:rsidRDefault="00000000">
      <w:pPr>
        <w:pStyle w:val="Standard"/>
        <w:jc w:val="both"/>
      </w:pPr>
      <w:r>
        <w:t>2. Możliwe formy wsparcia:</w:t>
      </w:r>
    </w:p>
    <w:p w14:paraId="252BF2E3" w14:textId="77777777" w:rsidR="00D0066A" w:rsidRDefault="00000000">
      <w:pPr>
        <w:pStyle w:val="Standard"/>
        <w:jc w:val="both"/>
      </w:pPr>
      <w:r>
        <w:t xml:space="preserve">a.  Usługi pielęgnacyjno-opiekuńcze w miejscu zamieszkania – usługi sąsiedzkie, opiekuńcze, fryzjer, </w:t>
      </w:r>
      <w:proofErr w:type="spellStart"/>
      <w:r>
        <w:t>podolog</w:t>
      </w:r>
      <w:proofErr w:type="spellEnd"/>
      <w:r>
        <w:t xml:space="preserve">. </w:t>
      </w:r>
    </w:p>
    <w:p w14:paraId="2211A46A" w14:textId="77777777" w:rsidR="00D0066A" w:rsidRDefault="00000000">
      <w:pPr>
        <w:pStyle w:val="Standard"/>
        <w:jc w:val="both"/>
      </w:pPr>
      <w:r>
        <w:t>b. Usługi asystenckie dla osób z niepełnosprawnościami,</w:t>
      </w:r>
    </w:p>
    <w:p w14:paraId="19DD47F5" w14:textId="77777777" w:rsidR="00D0066A" w:rsidRDefault="00000000">
      <w:pPr>
        <w:pStyle w:val="Standard"/>
        <w:jc w:val="both"/>
      </w:pPr>
      <w:r>
        <w:t>c. Specjalistyczne usługi opiekuńcze w miejscu zamieszkania (rehabilitacja domowa),</w:t>
      </w:r>
    </w:p>
    <w:p w14:paraId="591E467D" w14:textId="77777777" w:rsidR="00D0066A" w:rsidRDefault="00000000">
      <w:pPr>
        <w:pStyle w:val="Standard"/>
        <w:jc w:val="both"/>
      </w:pPr>
      <w:r>
        <w:t>d. Wsparcie opiekunów faktycznych,</w:t>
      </w:r>
    </w:p>
    <w:p w14:paraId="798303FF" w14:textId="77777777" w:rsidR="00D0066A" w:rsidRDefault="00000000">
      <w:pPr>
        <w:pStyle w:val="Standard"/>
        <w:jc w:val="both"/>
      </w:pPr>
      <w:r>
        <w:lastRenderedPageBreak/>
        <w:t>e. Rozwój Inteligentnego Asystenta - nowoczesne rozwiązania dla osób z niepełnosprawnościami                      i seniorów (montaż urządzeń w miejscu zamieszkania zwiększających bezpieczeństwo uczestników projektu),</w:t>
      </w:r>
    </w:p>
    <w:p w14:paraId="323D3EA1" w14:textId="77777777" w:rsidR="00D0066A" w:rsidRDefault="00000000">
      <w:pPr>
        <w:pStyle w:val="Standard"/>
        <w:jc w:val="both"/>
      </w:pPr>
      <w:r>
        <w:t>f. Centrum wsparcia dla osób z niepełnosprawnościami i seniorów (CWONIS)</w:t>
      </w:r>
    </w:p>
    <w:p w14:paraId="72987D07" w14:textId="77777777" w:rsidR="00D0066A" w:rsidRDefault="00000000">
      <w:pPr>
        <w:pStyle w:val="Standard"/>
        <w:jc w:val="both"/>
      </w:pPr>
      <w:r>
        <w:t>g. Usługi „złotej rączki” dla osób z niepełnosprawnościami i seniorów w miejscu zamieszkania,</w:t>
      </w:r>
    </w:p>
    <w:p w14:paraId="5F016DE0" w14:textId="77777777" w:rsidR="00D0066A" w:rsidRDefault="00000000">
      <w:pPr>
        <w:pStyle w:val="Standard"/>
        <w:jc w:val="both"/>
      </w:pPr>
      <w:r>
        <w:t xml:space="preserve">h. Opieka </w:t>
      </w:r>
      <w:proofErr w:type="spellStart"/>
      <w:r>
        <w:t>wytchnieniowa</w:t>
      </w:r>
      <w:proofErr w:type="spellEnd"/>
    </w:p>
    <w:p w14:paraId="54E11FA3" w14:textId="77777777" w:rsidR="00D0066A" w:rsidRDefault="00000000">
      <w:pPr>
        <w:pStyle w:val="Standard"/>
        <w:jc w:val="both"/>
      </w:pPr>
      <w:r>
        <w:t>3. Szczegółowe informacje dot. poszczególnych form wsparcia, m.in. w zakresie sposobu ich organizacji, czasu trwania, dostępne są w placówkach – w siedzibie każdego z Partnerów.</w:t>
      </w:r>
    </w:p>
    <w:p w14:paraId="5B879451" w14:textId="77777777" w:rsidR="00D0066A" w:rsidRDefault="00D0066A">
      <w:pPr>
        <w:pStyle w:val="Standard"/>
        <w:jc w:val="both"/>
      </w:pPr>
    </w:p>
    <w:p w14:paraId="7B51DB09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6</w:t>
      </w:r>
    </w:p>
    <w:p w14:paraId="0E4CF2E4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Obowiązki uczestników i uczestniczek projektu</w:t>
      </w:r>
    </w:p>
    <w:p w14:paraId="390EC9A7" w14:textId="77777777" w:rsidR="00D0066A" w:rsidRDefault="00000000">
      <w:pPr>
        <w:pStyle w:val="Standard"/>
        <w:jc w:val="both"/>
      </w:pPr>
      <w:r>
        <w:t>1. Po zakwalifikowaniu do projektu uczestnik/uczestniczka powinien:</w:t>
      </w:r>
    </w:p>
    <w:p w14:paraId="075AE7AF" w14:textId="77777777" w:rsidR="00D0066A" w:rsidRDefault="00000000">
      <w:pPr>
        <w:pStyle w:val="Standard"/>
        <w:jc w:val="both"/>
      </w:pPr>
      <w:r>
        <w:t>a. podpisać oświadczenie o wyrażeniu zgody na przetwarzanie danych osobowych; (w przypadku osób ubezwłasnowolnionych deklarację składa opiekun prawny).</w:t>
      </w:r>
    </w:p>
    <w:p w14:paraId="4576DA26" w14:textId="77777777" w:rsidR="00D0066A" w:rsidRDefault="00000000">
      <w:pPr>
        <w:pStyle w:val="Standard"/>
        <w:jc w:val="both"/>
      </w:pPr>
      <w:r>
        <w:t>b. potwierdzić, że zapoznał się z klauzulą informacyjną.</w:t>
      </w:r>
    </w:p>
    <w:p w14:paraId="7B9BB8C5" w14:textId="77777777" w:rsidR="00D0066A" w:rsidRDefault="00000000">
      <w:pPr>
        <w:pStyle w:val="Standard"/>
        <w:jc w:val="both"/>
      </w:pPr>
      <w:r>
        <w:t>2. Uczestnik/uczestniczka ma obowiązek uczestnictwa w wybranych formach wsparcia wskazanych                    w IŚW i w określonych terminach.</w:t>
      </w:r>
    </w:p>
    <w:p w14:paraId="200C5D06" w14:textId="77777777" w:rsidR="00D0066A" w:rsidRDefault="00000000">
      <w:pPr>
        <w:pStyle w:val="Standard"/>
        <w:jc w:val="both"/>
      </w:pPr>
      <w:r>
        <w:t>3. Uczestnicy/uczestniczki zobowiązani są do każdorazowego potwierdzania swojej obecności na warsztatach/spotkaniach i w innych formach udziału w projekcie, poprzez podpisanie listy obecności.</w:t>
      </w:r>
    </w:p>
    <w:p w14:paraId="1559619C" w14:textId="77777777" w:rsidR="00D0066A" w:rsidRDefault="00000000">
      <w:pPr>
        <w:pStyle w:val="Standard"/>
        <w:jc w:val="both"/>
      </w:pPr>
      <w:r>
        <w:t>4. W szczególnych przypadkach (m.in. choroby, zdarzenia losowe) dopuszcza się możliwość nieobecności na zajęciach.</w:t>
      </w:r>
    </w:p>
    <w:p w14:paraId="21025A84" w14:textId="77777777" w:rsidR="00D0066A" w:rsidRDefault="00000000">
      <w:pPr>
        <w:pStyle w:val="Standard"/>
        <w:jc w:val="both"/>
      </w:pPr>
      <w:r>
        <w:t>5. Usprawiedliwienie nieobecności uczestnik/uczestniczka przekazuje pracownikowi koordynującemu ścieżkę wsparcia.</w:t>
      </w:r>
    </w:p>
    <w:p w14:paraId="7257404F" w14:textId="77777777" w:rsidR="00D0066A" w:rsidRDefault="00000000">
      <w:pPr>
        <w:pStyle w:val="Standard"/>
        <w:jc w:val="both"/>
      </w:pPr>
      <w:r>
        <w:t xml:space="preserve"> 6. Uczestnik/uczestniczka ma obowiązek informowania o zmianie danych osobowych i danych kontaktowych takich jak: adres zamieszkania, adres poczty elektronicznej/numer telefonu i innych danych mających wpływ na realizację projektu.</w:t>
      </w:r>
    </w:p>
    <w:p w14:paraId="184B060C" w14:textId="77777777" w:rsidR="00D0066A" w:rsidRDefault="00000000">
      <w:pPr>
        <w:pStyle w:val="Standard"/>
        <w:jc w:val="both"/>
      </w:pPr>
      <w:r>
        <w:t>7. Uczestnicy/uczestniczki zobowiązani są do uczestnictwa w ewaluacji projektu.</w:t>
      </w:r>
    </w:p>
    <w:p w14:paraId="1133AAB1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7</w:t>
      </w:r>
    </w:p>
    <w:p w14:paraId="062801D9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 xml:space="preserve"> Prawa uczestników i uczestniczek projektu</w:t>
      </w:r>
    </w:p>
    <w:p w14:paraId="47DBA87D" w14:textId="77777777" w:rsidR="00D0066A" w:rsidRDefault="00000000">
      <w:pPr>
        <w:pStyle w:val="Standard"/>
        <w:jc w:val="both"/>
      </w:pPr>
      <w:r>
        <w:t>1. Uczestnik/uczestniczka projektu ma prawo wglądu w swoją dokumentację rekrutacyjną                                  i dokumentację dotyczącą udziału w projekcie.</w:t>
      </w:r>
    </w:p>
    <w:p w14:paraId="50DBA843" w14:textId="77777777" w:rsidR="00D0066A" w:rsidRDefault="00000000">
      <w:pPr>
        <w:pStyle w:val="Standard"/>
        <w:jc w:val="both"/>
      </w:pPr>
      <w:r>
        <w:t>2. Uczestnik/uczestniczka projektu ma prawo zmiany, w porozumieniu z personelem projektu, Indywidualnej Ścieżki Wsparcia.</w:t>
      </w:r>
    </w:p>
    <w:p w14:paraId="15D2FEEA" w14:textId="77777777" w:rsidR="00D0066A" w:rsidRDefault="00000000">
      <w:pPr>
        <w:pStyle w:val="Standard"/>
        <w:jc w:val="both"/>
      </w:pPr>
      <w:r>
        <w:t xml:space="preserve">3. Uczestnik/uczestniczka projektu ma prawo do bezpłatnego udziału w zajęciach i bezpłatnego korzystania z innych form wsparcia określonych w projekcie i ujętych w IŚW. </w:t>
      </w:r>
    </w:p>
    <w:p w14:paraId="5A8A120D" w14:textId="77777777" w:rsidR="00D0066A" w:rsidRDefault="00000000">
      <w:pPr>
        <w:pStyle w:val="Standard"/>
        <w:jc w:val="both"/>
      </w:pPr>
      <w:r>
        <w:t>4. Uczestnik/uczestniczka projektu ma prawo do kontaktu bezpośredniego z kadrą zarządzającą projektem i kadrą zarządzającą placówkami, zwłaszcza w sprawach spornych.</w:t>
      </w:r>
    </w:p>
    <w:p w14:paraId="7DE35BA7" w14:textId="77777777" w:rsidR="00D0066A" w:rsidRDefault="00D0066A">
      <w:pPr>
        <w:pStyle w:val="Standard"/>
        <w:jc w:val="both"/>
      </w:pPr>
    </w:p>
    <w:p w14:paraId="16401B31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8</w:t>
      </w:r>
    </w:p>
    <w:p w14:paraId="345FF481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Zakończenie udziału w projekcie</w:t>
      </w:r>
    </w:p>
    <w:p w14:paraId="6033BA33" w14:textId="77777777" w:rsidR="00D0066A" w:rsidRDefault="00000000">
      <w:pPr>
        <w:pStyle w:val="Standard"/>
        <w:jc w:val="both"/>
      </w:pPr>
      <w:r>
        <w:t>1. Uczestnik/uczestniczka projektu kończy w nim udział z chwilą zakończenia zaplanowanej dla niego Indywidualnej Ścieżki Wsparcia.</w:t>
      </w:r>
    </w:p>
    <w:p w14:paraId="3B7B1F5A" w14:textId="77777777" w:rsidR="00D0066A" w:rsidRDefault="00000000">
      <w:pPr>
        <w:pStyle w:val="Standard"/>
        <w:jc w:val="both"/>
      </w:pPr>
      <w:r>
        <w:t xml:space="preserve">2. W szczególnych sytuacjach uniemożliwiających uczestnictwo w zajęciach (np. długotrwała choroba, zmiana miejsca zamieszkania, inny ważny powód), uczestnicy/uczestniczki zakwalifikowani do udziału w projekcie mają prawo do rezygnacji z uczestnictwa, po złożeniu pisemnego </w:t>
      </w:r>
      <w:proofErr w:type="gramStart"/>
      <w:r>
        <w:t>oświadczenia  o</w:t>
      </w:r>
      <w:proofErr w:type="gramEnd"/>
      <w:r>
        <w:t xml:space="preserve"> rezygnacji.</w:t>
      </w:r>
    </w:p>
    <w:p w14:paraId="7D6E9DF4" w14:textId="77777777" w:rsidR="00D0066A" w:rsidRDefault="00000000">
      <w:pPr>
        <w:pStyle w:val="Standard"/>
        <w:jc w:val="both"/>
      </w:pPr>
      <w:r>
        <w:t>3. Uczestnik/uczestniczka projektu może zostać skreślony z listy uczestników/uczestniczek projektu w przypadku niewypełnienia postanowień zawartych w IŚW lub naruszenia postanowień niniejszego Regulaminu. Decyzję o skreśleniu z listy uczestników/uczestniczek projektu podejmuje zespół projektowy złożony z przedstawicieli Wnioskodawcy/Partnera Wiodącego i Partnerów.</w:t>
      </w:r>
    </w:p>
    <w:p w14:paraId="17AE86D0" w14:textId="77777777" w:rsidR="00D0066A" w:rsidRDefault="00000000">
      <w:pPr>
        <w:pStyle w:val="Standard"/>
        <w:jc w:val="both"/>
      </w:pPr>
      <w:r>
        <w:br/>
        <w:t>4. Dopuszcza się możliwość czasowego zawieszenia realizacji IŚW w sytuacjach wystąpienia szczególnych okoliczności oraz możliwość kontynuowania IŚW po ich ustaniu. Okoliczności te rozpatrywane są indywidualnie przez personel projektu oraz nie stanowią katalogu zamkniętego.</w:t>
      </w:r>
    </w:p>
    <w:p w14:paraId="1D76A611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§ 9</w:t>
      </w:r>
    </w:p>
    <w:p w14:paraId="6BCD9F1C" w14:textId="77777777" w:rsidR="00D0066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Postanowienia końcowe</w:t>
      </w:r>
    </w:p>
    <w:p w14:paraId="4A5DD335" w14:textId="77777777" w:rsidR="00D0066A" w:rsidRDefault="00000000">
      <w:pPr>
        <w:pStyle w:val="Standard"/>
        <w:jc w:val="both"/>
      </w:pPr>
      <w:r>
        <w:t>1. Ostateczna interpretacja Regulaminu należy do zespołu projektowego.</w:t>
      </w:r>
    </w:p>
    <w:p w14:paraId="0C7C7099" w14:textId="77777777" w:rsidR="00D0066A" w:rsidRDefault="00000000">
      <w:pPr>
        <w:pStyle w:val="Standard"/>
        <w:jc w:val="both"/>
      </w:pPr>
      <w:r>
        <w:t>2. Wnioskodawca/Partner Wiodący zastrzega sobie możliwość zmiany Regulaminu.</w:t>
      </w:r>
    </w:p>
    <w:p w14:paraId="1CF856FB" w14:textId="77777777" w:rsidR="00D0066A" w:rsidRDefault="00000000">
      <w:pPr>
        <w:pStyle w:val="Standard"/>
        <w:jc w:val="both"/>
      </w:pPr>
      <w:r>
        <w:lastRenderedPageBreak/>
        <w:t>3. Regulamin wchodzi w życie z dniem 01.03.</w:t>
      </w:r>
      <w:proofErr w:type="gramStart"/>
      <w:r>
        <w:t>2025r.</w:t>
      </w:r>
      <w:proofErr w:type="gramEnd"/>
    </w:p>
    <w:p w14:paraId="7E2D93E7" w14:textId="77777777" w:rsidR="00D0066A" w:rsidRDefault="00D0066A">
      <w:pPr>
        <w:pStyle w:val="Standard"/>
        <w:jc w:val="both"/>
      </w:pPr>
    </w:p>
    <w:p w14:paraId="358FF204" w14:textId="77777777" w:rsidR="00D0066A" w:rsidRDefault="00000000">
      <w:pPr>
        <w:pStyle w:val="Standard"/>
        <w:jc w:val="both"/>
      </w:pPr>
      <w:r>
        <w:t>Załączniki:</w:t>
      </w:r>
    </w:p>
    <w:p w14:paraId="6E4448E9" w14:textId="77777777" w:rsidR="00D0066A" w:rsidRDefault="00000000">
      <w:pPr>
        <w:pStyle w:val="Standard"/>
        <w:jc w:val="both"/>
      </w:pPr>
      <w:r>
        <w:t>1. Formularz zgłoszeniowy do udziału w projekcie (wraz z deklaracją udziału w projekcie).</w:t>
      </w:r>
    </w:p>
    <w:p w14:paraId="4CADFB18" w14:textId="77777777" w:rsidR="00D0066A" w:rsidRDefault="00000000">
      <w:pPr>
        <w:pStyle w:val="Standard"/>
        <w:jc w:val="both"/>
      </w:pPr>
      <w:r>
        <w:t>2. Oświadczenie uczestnika/uczestniczki o wyrażeniu zgody na przetwarzanie danych osobowych</w:t>
      </w:r>
    </w:p>
    <w:p w14:paraId="4986A980" w14:textId="77777777" w:rsidR="00D0066A" w:rsidRDefault="00000000">
      <w:pPr>
        <w:pStyle w:val="Standard"/>
        <w:jc w:val="both"/>
      </w:pPr>
      <w:r>
        <w:t>3. Klauzula informacyjna</w:t>
      </w:r>
    </w:p>
    <w:p w14:paraId="4E216EE9" w14:textId="77777777" w:rsidR="00D0066A" w:rsidRDefault="00000000">
      <w:pPr>
        <w:pStyle w:val="Standard"/>
        <w:jc w:val="both"/>
      </w:pPr>
      <w:r>
        <w:t>4. Oświadczenie uczestnika/uczestniczki o wyrażeniu zgody na wykorzystanie wizerunku</w:t>
      </w:r>
    </w:p>
    <w:p w14:paraId="73A8D18F" w14:textId="77777777" w:rsidR="00D0066A" w:rsidRDefault="00000000">
      <w:pPr>
        <w:pStyle w:val="Standard"/>
        <w:jc w:val="both"/>
      </w:pPr>
      <w:r>
        <w:t>5. Indywidualna Ścieżka Wsparcia.</w:t>
      </w:r>
    </w:p>
    <w:p w14:paraId="2E7C50E3" w14:textId="77777777" w:rsidR="00D0066A" w:rsidRDefault="00D0066A">
      <w:pPr>
        <w:pStyle w:val="Standard"/>
        <w:jc w:val="both"/>
      </w:pPr>
    </w:p>
    <w:sectPr w:rsidR="00D006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3" w:bottom="1560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B994" w14:textId="77777777" w:rsidR="00D731CE" w:rsidRDefault="00D731CE">
      <w:r>
        <w:separator/>
      </w:r>
    </w:p>
  </w:endnote>
  <w:endnote w:type="continuationSeparator" w:id="0">
    <w:p w14:paraId="7B5AFB27" w14:textId="77777777" w:rsidR="00D731CE" w:rsidRDefault="00D7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BE9A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4D9FDAC" w14:textId="77777777" w:rsidR="00000000" w:rsidRDefault="00000000">
    <w:pPr>
      <w:pStyle w:val="Stopka"/>
    </w:pPr>
  </w:p>
  <w:p w14:paraId="69E5A69E" w14:textId="77777777" w:rsidR="00000000" w:rsidRDefault="00000000">
    <w:pPr>
      <w:pStyle w:val="Standard"/>
    </w:pPr>
    <w:r>
      <w:rPr>
        <w:noProof/>
      </w:rPr>
      <w:drawing>
        <wp:inline distT="0" distB="0" distL="0" distR="0" wp14:anchorId="07EEA4E4" wp14:editId="693868A3">
          <wp:extent cx="5759448" cy="389250"/>
          <wp:effectExtent l="0" t="0" r="0" b="4450"/>
          <wp:docPr id="1338468078" name="Obraz 1502311713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48" cy="389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C1D0" w14:textId="77777777" w:rsidR="00000000" w:rsidRDefault="00000000">
    <w:pPr>
      <w:pStyle w:val="Stopka"/>
    </w:pPr>
    <w:r>
      <w:rPr>
        <w:noProof/>
      </w:rPr>
      <w:drawing>
        <wp:inline distT="0" distB="0" distL="0" distR="0" wp14:anchorId="3269FCF8" wp14:editId="271A7BC7">
          <wp:extent cx="5759448" cy="389250"/>
          <wp:effectExtent l="0" t="0" r="0" b="4450"/>
          <wp:docPr id="1747093349" name="Obraz 128363386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48" cy="389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141C" w14:textId="77777777" w:rsidR="00D731CE" w:rsidRDefault="00D731CE">
      <w:r>
        <w:rPr>
          <w:color w:val="000000"/>
        </w:rPr>
        <w:separator/>
      </w:r>
    </w:p>
  </w:footnote>
  <w:footnote w:type="continuationSeparator" w:id="0">
    <w:p w14:paraId="40E6DC94" w14:textId="77777777" w:rsidR="00D731CE" w:rsidRDefault="00D7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1110" w14:textId="77777777" w:rsidR="00000000" w:rsidRDefault="00000000">
    <w:pPr>
      <w:pStyle w:val="Heading"/>
    </w:pPr>
    <w:r>
      <w:rPr>
        <w:noProof/>
      </w:rPr>
      <w:drawing>
        <wp:inline distT="0" distB="0" distL="0" distR="0" wp14:anchorId="7BE27B6C" wp14:editId="3AA5DBD1">
          <wp:extent cx="5850358" cy="685800"/>
          <wp:effectExtent l="0" t="0" r="4342" b="0"/>
          <wp:docPr id="1007997555" name="Obraz 543362270" descr="Ciąg trzech logotypów w kolejności od lewej: 1. Fundusze Europejskie dla Pomorza, 2. Dofinansowane przez Unię Europejską, 3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358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139077" w14:textId="77777777" w:rsidR="00000000" w:rsidRDefault="00000000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614A" w14:textId="77777777" w:rsidR="00000000" w:rsidRDefault="00000000">
    <w:pPr>
      <w:pStyle w:val="Heading"/>
      <w:jc w:val="center"/>
    </w:pPr>
    <w:r>
      <w:rPr>
        <w:noProof/>
      </w:rPr>
      <w:drawing>
        <wp:inline distT="0" distB="0" distL="0" distR="0" wp14:anchorId="34131CB1" wp14:editId="5C408638">
          <wp:extent cx="5850358" cy="686522"/>
          <wp:effectExtent l="0" t="0" r="4342" b="0"/>
          <wp:docPr id="584354894" name="Obraz 32" descr="Ciąg trzech logotypów w kolejności od lewej: 1. Fundusze Europejskie dla Pomorza, 2. Dofinansowane przez Unię Europejską, 3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358" cy="686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671"/>
    <w:multiLevelType w:val="multilevel"/>
    <w:tmpl w:val="0BB6950E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C4E14B8"/>
    <w:multiLevelType w:val="multilevel"/>
    <w:tmpl w:val="F15292EA"/>
    <w:styleLink w:val="WWNum6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" w15:restartNumberingAfterBreak="0">
    <w:nsid w:val="21D17832"/>
    <w:multiLevelType w:val="multilevel"/>
    <w:tmpl w:val="C360D464"/>
    <w:styleLink w:val="WWNum10"/>
    <w:lvl w:ilvl="0">
      <w:start w:val="1"/>
      <w:numFmt w:val="decimal"/>
      <w:lvlText w:val="%1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35A6580"/>
    <w:multiLevelType w:val="multilevel"/>
    <w:tmpl w:val="5DD4F0EE"/>
    <w:styleLink w:val="WWNum9"/>
    <w:lvl w:ilvl="0">
      <w:start w:val="1"/>
      <w:numFmt w:val="decimal"/>
      <w:lvlText w:val="%1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60674AB"/>
    <w:multiLevelType w:val="multilevel"/>
    <w:tmpl w:val="3EFE0830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/>
        <w:b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8B85664"/>
    <w:multiLevelType w:val="multilevel"/>
    <w:tmpl w:val="0A0014BA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0F238DB"/>
    <w:multiLevelType w:val="multilevel"/>
    <w:tmpl w:val="F3B63218"/>
    <w:styleLink w:val="WWNum8"/>
    <w:lvl w:ilvl="0">
      <w:numFmt w:val="bullet"/>
      <w:lvlText w:val="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6" w:hanging="360"/>
      </w:pPr>
    </w:lvl>
    <w:lvl w:ilvl="3">
      <w:numFmt w:val="bullet"/>
      <w:lvlText w:val=""/>
      <w:lvlJc w:val="left"/>
      <w:pPr>
        <w:ind w:left="2946" w:hanging="360"/>
      </w:pPr>
    </w:lvl>
    <w:lvl w:ilvl="4">
      <w:numFmt w:val="bullet"/>
      <w:lvlText w:val="o"/>
      <w:lvlJc w:val="left"/>
      <w:pPr>
        <w:ind w:left="366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6" w:hanging="360"/>
      </w:pPr>
    </w:lvl>
    <w:lvl w:ilvl="6">
      <w:numFmt w:val="bullet"/>
      <w:lvlText w:val=""/>
      <w:lvlJc w:val="left"/>
      <w:pPr>
        <w:ind w:left="5106" w:hanging="360"/>
      </w:pPr>
    </w:lvl>
    <w:lvl w:ilvl="7">
      <w:numFmt w:val="bullet"/>
      <w:lvlText w:val="o"/>
      <w:lvlJc w:val="left"/>
      <w:pPr>
        <w:ind w:left="582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6" w:hanging="360"/>
      </w:pPr>
    </w:lvl>
  </w:abstractNum>
  <w:abstractNum w:abstractNumId="7" w15:restartNumberingAfterBreak="0">
    <w:nsid w:val="4FB468A5"/>
    <w:multiLevelType w:val="multilevel"/>
    <w:tmpl w:val="A922F8AA"/>
    <w:styleLink w:val="WWNum4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70074DF"/>
    <w:multiLevelType w:val="multilevel"/>
    <w:tmpl w:val="9E5C9E00"/>
    <w:styleLink w:val="WWNum13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 w15:restartNumberingAfterBreak="0">
    <w:nsid w:val="5E036EE8"/>
    <w:multiLevelType w:val="multilevel"/>
    <w:tmpl w:val="19948B9A"/>
    <w:styleLink w:val="WWNum12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 w15:restartNumberingAfterBreak="0">
    <w:nsid w:val="5F3240BF"/>
    <w:multiLevelType w:val="multilevel"/>
    <w:tmpl w:val="29CE36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1" w15:restartNumberingAfterBreak="0">
    <w:nsid w:val="5F871608"/>
    <w:multiLevelType w:val="multilevel"/>
    <w:tmpl w:val="B66E283E"/>
    <w:styleLink w:val="WWNum11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2" w15:restartNumberingAfterBreak="0">
    <w:nsid w:val="62CF6855"/>
    <w:multiLevelType w:val="multilevel"/>
    <w:tmpl w:val="9C56229C"/>
    <w:styleLink w:val="WWNum2"/>
    <w:lvl w:ilvl="0">
      <w:start w:val="1"/>
      <w:numFmt w:val="decimal"/>
      <w:lvlText w:val="%1"/>
      <w:lvlJc w:val="left"/>
      <w:pPr>
        <w:ind w:left="502" w:hanging="360"/>
      </w:pPr>
      <w:rPr>
        <w:rFonts w:ascii="Arial" w:hAnsi="Arial" w:cs="Arial"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3" w15:restartNumberingAfterBreak="0">
    <w:nsid w:val="65732A00"/>
    <w:multiLevelType w:val="multilevel"/>
    <w:tmpl w:val="EE2A656A"/>
    <w:styleLink w:val="WWNum5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6716017D"/>
    <w:multiLevelType w:val="multilevel"/>
    <w:tmpl w:val="6DBC6672"/>
    <w:styleLink w:val="WWNum14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 w16cid:durableId="1506046010">
    <w:abstractNumId w:val="10"/>
  </w:num>
  <w:num w:numId="2" w16cid:durableId="1264000721">
    <w:abstractNumId w:val="4"/>
  </w:num>
  <w:num w:numId="3" w16cid:durableId="376316322">
    <w:abstractNumId w:val="12"/>
  </w:num>
  <w:num w:numId="4" w16cid:durableId="1518082478">
    <w:abstractNumId w:val="0"/>
  </w:num>
  <w:num w:numId="5" w16cid:durableId="620186004">
    <w:abstractNumId w:val="7"/>
  </w:num>
  <w:num w:numId="6" w16cid:durableId="13112328">
    <w:abstractNumId w:val="13"/>
  </w:num>
  <w:num w:numId="7" w16cid:durableId="1315253404">
    <w:abstractNumId w:val="1"/>
  </w:num>
  <w:num w:numId="8" w16cid:durableId="1164130325">
    <w:abstractNumId w:val="5"/>
  </w:num>
  <w:num w:numId="9" w16cid:durableId="149908184">
    <w:abstractNumId w:val="6"/>
  </w:num>
  <w:num w:numId="10" w16cid:durableId="1112281923">
    <w:abstractNumId w:val="3"/>
  </w:num>
  <w:num w:numId="11" w16cid:durableId="1488203300">
    <w:abstractNumId w:val="2"/>
  </w:num>
  <w:num w:numId="12" w16cid:durableId="243877377">
    <w:abstractNumId w:val="11"/>
  </w:num>
  <w:num w:numId="13" w16cid:durableId="93021342">
    <w:abstractNumId w:val="9"/>
  </w:num>
  <w:num w:numId="14" w16cid:durableId="1830630082">
    <w:abstractNumId w:val="8"/>
  </w:num>
  <w:num w:numId="15" w16cid:durableId="1482497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66A"/>
    <w:rsid w:val="004A553C"/>
    <w:rsid w:val="005E2F6E"/>
    <w:rsid w:val="00D0066A"/>
    <w:rsid w:val="00D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6BDF0"/>
  <w15:docId w15:val="{5C0DAB0C-C8BC-EC49-AC06-B33AB0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shd w:val="clear" w:color="auto" w:fill="548DD4"/>
      <w:spacing w:before="0" w:after="0"/>
      <w:ind w:left="567" w:hanging="567"/>
      <w:jc w:val="both"/>
      <w:outlineLvl w:val="0"/>
    </w:pPr>
    <w:rPr>
      <w:rFonts w:ascii="Calibri" w:eastAsia="Calibri" w:hAnsi="Calibri" w:cs="Calibri"/>
      <w:b/>
      <w:bCs/>
      <w:color w:val="FFFFFF"/>
      <w:sz w:val="28"/>
      <w:szCs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shd w:val="clear" w:color="auto" w:fill="8DB3E2"/>
      <w:tabs>
        <w:tab w:val="left" w:pos="568"/>
      </w:tabs>
      <w:spacing w:before="0" w:after="0"/>
      <w:ind w:left="142" w:hanging="142"/>
      <w:jc w:val="both"/>
      <w:outlineLvl w:val="1"/>
    </w:pPr>
    <w:rPr>
      <w:rFonts w:ascii="Calibri" w:eastAsia="Calibri" w:hAnsi="Calibri" w:cs="Calibri"/>
      <w:b/>
      <w:bCs/>
      <w:iCs/>
      <w:color w:val="FFFFFF"/>
      <w:sz w:val="24"/>
      <w:szCs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jc w:val="both"/>
      <w:outlineLvl w:val="2"/>
    </w:pPr>
    <w:rPr>
      <w:rFonts w:ascii="Calibri" w:eastAsia="Calibri" w:hAnsi="Calibri" w:cs="Arial"/>
      <w:b/>
      <w:bCs/>
      <w:lang w:eastAsia="pl-PL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240"/>
      <w:outlineLvl w:val="3"/>
    </w:pPr>
    <w:rPr>
      <w:rFonts w:ascii="Calibri" w:eastAsia="MS Mincho" w:hAnsi="Calibri" w:cs="Calibri"/>
      <w:b/>
      <w:bCs/>
      <w:sz w:val="26"/>
      <w:szCs w:val="28"/>
      <w:lang w:eastAsia="pl-PL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outlineLvl w:val="4"/>
    </w:pPr>
    <w:rPr>
      <w:rFonts w:ascii="Calibri" w:eastAsia="Calibri" w:hAnsi="Calibri" w:cs="Calibri"/>
      <w:b/>
      <w:u w:val="single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paragraph" w:styleId="Nagwek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Calibri" w:hAnsi="Cambria" w:cs="Cambria"/>
      <w:i/>
      <w:iCs/>
      <w:color w:val="404040"/>
    </w:rPr>
  </w:style>
  <w:style w:type="paragraph" w:styleId="Nagwek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line="240" w:lineRule="auto"/>
    </w:p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spacing w:before="0" w:after="0"/>
      <w:ind w:left="720"/>
      <w:contextualSpacing/>
    </w:pPr>
  </w:style>
  <w:style w:type="paragraph" w:customStyle="1" w:styleId="Contents1">
    <w:name w:val="Contents 1"/>
    <w:basedOn w:val="Standard"/>
    <w:next w:val="Standard"/>
    <w:autoRedefine/>
    <w:pPr>
      <w:tabs>
        <w:tab w:val="left" w:pos="440"/>
        <w:tab w:val="right" w:pos="9062"/>
      </w:tabs>
      <w:spacing w:before="0" w:after="0"/>
      <w:outlineLvl w:val="0"/>
    </w:pPr>
    <w:rPr>
      <w:rFonts w:ascii="Cambria" w:eastAsia="Cambria" w:hAnsi="Cambria" w:cs="Cambria"/>
      <w:b/>
      <w:bCs/>
      <w:caps/>
      <w:sz w:val="24"/>
      <w:szCs w:val="24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022"/>
        <w:tab w:val="right" w:pos="9204"/>
      </w:tabs>
      <w:spacing w:before="0" w:after="0"/>
      <w:ind w:left="14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ontents3">
    <w:name w:val="Contents 3"/>
    <w:basedOn w:val="Standard"/>
    <w:next w:val="Standard"/>
    <w:autoRedefine/>
    <w:pPr>
      <w:tabs>
        <w:tab w:val="left" w:pos="1418"/>
        <w:tab w:val="right" w:leader="dot" w:pos="9771"/>
      </w:tabs>
      <w:spacing w:before="0" w:after="0"/>
      <w:ind w:left="709" w:hanging="425"/>
    </w:pPr>
    <w:rPr>
      <w:rFonts w:ascii="Calibri" w:eastAsia="Calibri" w:hAnsi="Calibri" w:cs="Calibri"/>
      <w:sz w:val="20"/>
      <w:szCs w:val="20"/>
    </w:rPr>
  </w:style>
  <w:style w:type="paragraph" w:customStyle="1" w:styleId="Nagwek-Sekcja">
    <w:name w:val="Nagłówek - Sekcja"/>
    <w:basedOn w:val="Nagwek1"/>
    <w:next w:val="Standard"/>
    <w:pPr>
      <w:shd w:val="clear" w:color="auto" w:fill="365F91"/>
      <w:ind w:left="0" w:firstLine="0"/>
    </w:pPr>
    <w:rPr>
      <w:sz w:val="32"/>
    </w:rPr>
  </w:style>
  <w:style w:type="paragraph" w:styleId="Tekstdym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Standard"/>
    <w:rPr>
      <w:sz w:val="24"/>
      <w:szCs w:val="24"/>
    </w:rPr>
  </w:style>
  <w:style w:type="paragraph" w:customStyle="1" w:styleId="Endnote">
    <w:name w:val="Endnote"/>
    <w:basedOn w:val="Standard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rFonts w:eastAsia="MS Mincho"/>
      <w:sz w:val="20"/>
      <w:szCs w:val="20"/>
      <w:lang w:eastAsia="ja-JP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pPr>
      <w:keepNext/>
      <w:keepLines/>
      <w:shd w:val="clear" w:color="auto" w:fill="365F91"/>
      <w:ind w:left="0" w:firstLine="0"/>
      <w:jc w:val="left"/>
    </w:pPr>
    <w:rPr>
      <w:rFonts w:ascii="Cambria" w:eastAsia="Cambria" w:hAnsi="Cambria" w:cs="Cambria"/>
      <w:color w:val="365F91"/>
      <w:lang w:eastAsia="pl-PL"/>
    </w:rPr>
  </w:style>
  <w:style w:type="paragraph" w:styleId="Bezodstpw">
    <w:name w:val="No Spacing"/>
    <w:autoRedefine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Tytu">
    <w:name w:val="Title"/>
    <w:basedOn w:val="Standard"/>
    <w:next w:val="Standard"/>
    <w:uiPriority w:val="10"/>
    <w:qFormat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Calibri" w:hAnsi="Cambria" w:cs="Cambria"/>
      <w:color w:val="17365D"/>
      <w:spacing w:val="5"/>
      <w:kern w:val="3"/>
      <w:sz w:val="52"/>
      <w:szCs w:val="52"/>
    </w:rPr>
  </w:style>
  <w:style w:type="paragraph" w:styleId="Tekstpodstawowy2">
    <w:name w:val="Body Text 2"/>
    <w:basedOn w:val="Standard"/>
    <w:pPr>
      <w:spacing w:before="0" w:after="120" w:line="360" w:lineRule="auto"/>
      <w:jc w:val="both"/>
    </w:pPr>
    <w:rPr>
      <w:szCs w:val="20"/>
      <w:lang w:eastAsia="pl-PL"/>
    </w:rPr>
  </w:style>
  <w:style w:type="paragraph" w:customStyle="1" w:styleId="ZnakZnak">
    <w:name w:val="Znak Znak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rFonts w:eastAsia="Calibri" w:cs="Arial"/>
      <w:b/>
      <w:bCs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4">
    <w:name w:val="Znak Znak4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Akapitzlist1">
    <w:name w:val="Akapit z listą1"/>
    <w:basedOn w:val="Standard"/>
    <w:pPr>
      <w:spacing w:before="0" w:after="0"/>
      <w:ind w:left="720"/>
      <w:contextualSpacing/>
    </w:pPr>
  </w:style>
  <w:style w:type="paragraph" w:customStyle="1" w:styleId="Style6">
    <w:name w:val="Style6"/>
    <w:basedOn w:val="Standard"/>
    <w:pPr>
      <w:widowControl w:val="0"/>
      <w:spacing w:line="241" w:lineRule="exact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8">
    <w:name w:val="Style8"/>
    <w:basedOn w:val="Standard"/>
    <w:pPr>
      <w:widowControl w:val="0"/>
      <w:spacing w:line="235" w:lineRule="exact"/>
      <w:ind w:hanging="355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6">
    <w:name w:val="Style16"/>
    <w:basedOn w:val="Standard"/>
    <w:pPr>
      <w:widowControl w:val="0"/>
      <w:spacing w:line="240" w:lineRule="auto"/>
      <w:jc w:val="righ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18">
    <w:name w:val="Style18"/>
    <w:basedOn w:val="Standard"/>
    <w:pPr>
      <w:widowControl w:val="0"/>
      <w:spacing w:line="237" w:lineRule="exact"/>
      <w:ind w:hanging="350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CM59">
    <w:name w:val="CM59"/>
    <w:basedOn w:val="Standard"/>
    <w:next w:val="Standard"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CM66">
    <w:name w:val="CM66"/>
    <w:basedOn w:val="Standard"/>
    <w:next w:val="Standard"/>
    <w:pPr>
      <w:widowControl w:val="0"/>
      <w:spacing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Standard"/>
    <w:pPr>
      <w:spacing w:before="0" w:after="0"/>
      <w:ind w:left="720"/>
      <w:contextualSpacing/>
    </w:pPr>
  </w:style>
  <w:style w:type="paragraph" w:customStyle="1" w:styleId="ZnakZnak3">
    <w:name w:val="Znak Znak3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2">
    <w:name w:val="Znak Znak2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1">
    <w:name w:val="Znak Znak1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8">
    <w:name w:val="Znak Znak8"/>
    <w:basedOn w:val="Standard"/>
    <w:pPr>
      <w:spacing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Contents4">
    <w:name w:val="Contents 4"/>
    <w:basedOn w:val="Standard"/>
    <w:next w:val="Standard"/>
    <w:autoRedefine/>
    <w:pPr>
      <w:ind w:left="44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66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88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1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32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540"/>
    </w:pPr>
    <w:rPr>
      <w:rFonts w:ascii="Calibri" w:eastAsia="Calibri" w:hAnsi="Calibri" w:cs="Calibri"/>
      <w:sz w:val="20"/>
      <w:szCs w:val="20"/>
    </w:rPr>
  </w:style>
  <w:style w:type="paragraph" w:customStyle="1" w:styleId="ZnakZnak7">
    <w:name w:val="Znak Znak7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6">
    <w:name w:val="Znak Znak6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ZnakZnak5">
    <w:name w:val="Znak Znak5"/>
    <w:basedOn w:val="Standard"/>
    <w:pPr>
      <w:spacing w:before="0" w:after="0" w:line="360" w:lineRule="auto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Tytuowa1">
    <w:name w:val="Tytułowa 1"/>
    <w:basedOn w:val="Tytu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customStyle="1" w:styleId="WW-Default">
    <w:name w:val="WW-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garNORM">
    <w:name w:val="garNORM"/>
    <w:basedOn w:val="Standard"/>
    <w:pPr>
      <w:spacing w:before="60" w:after="60"/>
      <w:jc w:val="both"/>
    </w:pPr>
    <w:rPr>
      <w:rFonts w:ascii="Garamond" w:eastAsia="Garamond" w:hAnsi="Garamond" w:cs="Garamond"/>
    </w:rPr>
  </w:style>
  <w:style w:type="paragraph" w:customStyle="1" w:styleId="Nagwek10">
    <w:name w:val="Nagłówek1"/>
    <w:basedOn w:val="Standard"/>
    <w:pPr>
      <w:shd w:val="clear" w:color="auto" w:fill="244061"/>
      <w:spacing w:before="0" w:after="0"/>
      <w:jc w:val="center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11">
    <w:name w:val="Nagłówek11"/>
    <w:basedOn w:val="Standard"/>
    <w:pPr>
      <w:shd w:val="clear" w:color="auto" w:fill="244061"/>
      <w:spacing w:before="0" w:after="48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Nagwek20">
    <w:name w:val="Nagłówek2"/>
    <w:basedOn w:val="Akapitzlist"/>
    <w:pPr>
      <w:shd w:val="clear" w:color="auto" w:fill="244061"/>
      <w:spacing w:after="120"/>
      <w:ind w:left="426" w:hanging="426"/>
      <w:contextualSpacing w:val="0"/>
      <w:jc w:val="both"/>
      <w:outlineLvl w:val="0"/>
    </w:pPr>
    <w:rPr>
      <w:rFonts w:ascii="Calibri" w:eastAsia="Calibri" w:hAnsi="Calibri" w:cs="Calibri"/>
      <w:b/>
      <w:color w:val="FFFFFF"/>
      <w:sz w:val="28"/>
    </w:rPr>
  </w:style>
  <w:style w:type="paragraph" w:customStyle="1" w:styleId="Nagwek30">
    <w:name w:val="Nagłówek3"/>
    <w:basedOn w:val="Akapitzlist"/>
    <w:pPr>
      <w:shd w:val="clear" w:color="auto" w:fill="365F91"/>
      <w:tabs>
        <w:tab w:val="left" w:leader="dot" w:pos="1083"/>
      </w:tabs>
      <w:spacing w:after="120"/>
      <w:ind w:left="425" w:hanging="425"/>
      <w:contextualSpacing w:val="0"/>
      <w:jc w:val="both"/>
      <w:outlineLvl w:val="2"/>
    </w:pPr>
    <w:rPr>
      <w:rFonts w:ascii="Calibri" w:eastAsia="Calibri" w:hAnsi="Calibri" w:cs="Calibri"/>
      <w:b/>
      <w:color w:val="FFFFFF"/>
      <w:sz w:val="24"/>
    </w:rPr>
  </w:style>
  <w:style w:type="paragraph" w:customStyle="1" w:styleId="poddziaenie">
    <w:name w:val="poddziałenie"/>
    <w:basedOn w:val="Standard"/>
    <w:pPr>
      <w:shd w:val="clear" w:color="auto" w:fill="365F91"/>
      <w:spacing w:before="48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customStyle="1" w:styleId="Styl1">
    <w:name w:val="Styl1"/>
    <w:basedOn w:val="Standard"/>
    <w:pPr>
      <w:shd w:val="clear" w:color="auto" w:fill="365F91"/>
      <w:spacing w:before="0" w:after="0"/>
      <w:jc w:val="center"/>
    </w:pPr>
    <w:rPr>
      <w:rFonts w:ascii="Calibri" w:eastAsia="Calibri" w:hAnsi="Calibri" w:cs="Calibri"/>
      <w:b/>
      <w:color w:val="FFFFFF"/>
      <w:sz w:val="32"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basedOn w:val="Domylnaczcionkaakapitu"/>
    <w:rPr>
      <w:rFonts w:ascii="Calibri" w:eastAsia="Calibri" w:hAnsi="Calibri" w:cs="Times New Roman"/>
      <w:b/>
      <w:bCs/>
      <w:color w:val="FFFFFF"/>
      <w:sz w:val="28"/>
      <w:szCs w:val="28"/>
      <w:shd w:val="clear" w:color="auto" w:fill="548DD4"/>
    </w:rPr>
  </w:style>
  <w:style w:type="character" w:customStyle="1" w:styleId="Nagwek2Znak">
    <w:name w:val="Nagłówek 2 Znak"/>
    <w:basedOn w:val="Domylnaczcionkaakapitu"/>
    <w:rPr>
      <w:rFonts w:eastAsia="Calibri" w:cs="Times New Roman"/>
      <w:b/>
      <w:bCs/>
      <w:iCs/>
      <w:color w:val="FFFFFF"/>
      <w:sz w:val="24"/>
      <w:szCs w:val="24"/>
      <w:shd w:val="clear" w:color="auto" w:fill="8DB3E2"/>
    </w:rPr>
  </w:style>
  <w:style w:type="character" w:customStyle="1" w:styleId="Nagwek3Znak">
    <w:name w:val="Nagłówek 3 Znak"/>
    <w:basedOn w:val="Domylnaczcionkaakapitu"/>
    <w:rPr>
      <w:rFonts w:eastAsia="Times New Roman" w:cs="Arial"/>
      <w:b/>
      <w:bCs/>
      <w:lang w:eastAsia="pl-PL"/>
    </w:rPr>
  </w:style>
  <w:style w:type="character" w:customStyle="1" w:styleId="Nagwek4Znak">
    <w:name w:val="Nagłówek 4 Znak"/>
    <w:basedOn w:val="Domylnaczcionkaakapitu"/>
    <w:rPr>
      <w:rFonts w:eastAsia="MS Mincho" w:cs="Times New Roman"/>
      <w:b/>
      <w:bCs/>
      <w:sz w:val="26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b/>
      <w:u w:val="single"/>
    </w:rPr>
  </w:style>
  <w:style w:type="character" w:customStyle="1" w:styleId="Nagwek6Znak">
    <w:name w:val="Nagłówek 6 Znak"/>
    <w:basedOn w:val="Domylnaczcionkaakapitu"/>
    <w:rPr>
      <w:rFonts w:ascii="Cambria" w:eastAsia="Calibri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rPr>
      <w:rFonts w:ascii="Cambria" w:eastAsia="Calibri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ytuZnak">
    <w:name w:val="Tytuł Znak"/>
    <w:basedOn w:val="Domylnaczcionkaakapitu"/>
    <w:rPr>
      <w:rFonts w:ascii="Cambria" w:eastAsia="Calibri" w:hAnsi="Cambria" w:cs="Times New Roman"/>
      <w:color w:val="17365D"/>
      <w:spacing w:val="5"/>
      <w:kern w:val="3"/>
      <w:sz w:val="52"/>
      <w:szCs w:val="52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FontStyle49">
    <w:name w:val="Font Style49"/>
    <w:rPr>
      <w:rFonts w:ascii="Arial" w:eastAsia="Arial" w:hAnsi="Arial" w:cs="Arial"/>
      <w:color w:val="000000"/>
      <w:sz w:val="16"/>
      <w:szCs w:val="16"/>
    </w:rPr>
  </w:style>
  <w:style w:type="character" w:customStyle="1" w:styleId="FontStyle52">
    <w:name w:val="Font Style52"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rPr>
      <w:rFonts w:ascii="Arial" w:eastAsia="Arial" w:hAnsi="Arial" w:cs="Arial"/>
      <w:i/>
      <w:iCs/>
      <w:color w:val="000000"/>
      <w:sz w:val="20"/>
      <w:szCs w:val="20"/>
    </w:rPr>
  </w:style>
  <w:style w:type="character" w:customStyle="1" w:styleId="FontStyle54">
    <w:name w:val="Font Style54"/>
    <w:rPr>
      <w:rFonts w:ascii="Arial" w:eastAsia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rPr>
      <w:rFonts w:ascii="Arial" w:eastAsia="Arial" w:hAnsi="Arial" w:cs="Arial"/>
      <w:b/>
      <w:bCs/>
      <w:i/>
      <w:iCs/>
      <w:color w:val="000000"/>
      <w:sz w:val="16"/>
      <w:szCs w:val="16"/>
    </w:rPr>
  </w:style>
  <w:style w:type="character" w:styleId="Pogrubienie">
    <w:name w:val="Strong"/>
    <w:rPr>
      <w:b/>
      <w:bCs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Domylnaczcionkaakapitu"/>
  </w:style>
  <w:style w:type="character" w:customStyle="1" w:styleId="sc-qpwwy">
    <w:name w:val="sc-qpwwy"/>
    <w:basedOn w:val="Domylnaczcionkaakapitu"/>
  </w:style>
  <w:style w:type="character" w:customStyle="1" w:styleId="garNORMZnak">
    <w:name w:val="garNORM Znak"/>
    <w:rPr>
      <w:rFonts w:ascii="Garamond" w:eastAsia="Times New Roman" w:hAnsi="Garamond" w:cs="Garamond"/>
    </w:rPr>
  </w:style>
  <w:style w:type="character" w:customStyle="1" w:styleId="Nagwek1Znak0">
    <w:name w:val="Nagłówek1 Znak"/>
    <w:basedOn w:val="Domylnaczcionkaakapitu"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11Znak">
    <w:name w:val="Nagłówek11 Znak"/>
    <w:basedOn w:val="Domylnaczcionkaakapitu"/>
    <w:rPr>
      <w:rFonts w:ascii="Calibri" w:eastAsia="Calibri" w:hAnsi="Calibri" w:cs="Calibri"/>
      <w:b/>
      <w:color w:val="FFFFFF"/>
      <w:sz w:val="32"/>
      <w:shd w:val="clear" w:color="auto" w:fill="244061"/>
    </w:rPr>
  </w:style>
  <w:style w:type="character" w:customStyle="1" w:styleId="Nagwek2Znak0">
    <w:name w:val="Nagłówek2 Znak"/>
    <w:basedOn w:val="AkapitzlistZnak"/>
    <w:rPr>
      <w:rFonts w:ascii="Calibri" w:eastAsia="Calibri" w:hAnsi="Calibri" w:cs="Calibri"/>
      <w:b/>
      <w:color w:val="FFFFFF"/>
      <w:sz w:val="28"/>
      <w:shd w:val="clear" w:color="auto" w:fill="244061"/>
    </w:rPr>
  </w:style>
  <w:style w:type="character" w:customStyle="1" w:styleId="Nagwek3Znak0">
    <w:name w:val="Nagłówek3 Znak"/>
    <w:basedOn w:val="AkapitzlistZnak"/>
    <w:rPr>
      <w:rFonts w:ascii="Calibri" w:eastAsia="Calibri" w:hAnsi="Calibri" w:cs="Calibri"/>
      <w:b/>
      <w:color w:val="FFFFFF"/>
      <w:sz w:val="24"/>
      <w:shd w:val="clear" w:color="auto" w:fill="365F91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ascii="Calibri" w:eastAsia="Calibri" w:hAnsi="Calibri" w:cs="Calibri"/>
      <w:b/>
      <w:color w:val="FFFFFF"/>
      <w:sz w:val="24"/>
      <w:szCs w:val="24"/>
    </w:rPr>
  </w:style>
  <w:style w:type="character" w:customStyle="1" w:styleId="ListLabel2">
    <w:name w:val="ListLabel 2"/>
    <w:rPr>
      <w:rFonts w:ascii="Arial" w:eastAsia="Arial" w:hAnsi="Arial" w:cs="Arial"/>
      <w:i w:val="0"/>
      <w:color w:val="auto"/>
      <w:sz w:val="20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 w:val="0"/>
      <w:bCs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sz w:val="18"/>
      <w:szCs w:val="18"/>
    </w:rPr>
  </w:style>
  <w:style w:type="character" w:customStyle="1" w:styleId="ListLabel16">
    <w:name w:val="ListLabel 16"/>
    <w:rPr>
      <w:sz w:val="18"/>
      <w:szCs w:val="18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FootnoteSymbol">
    <w:name w:val="Footnote Symbol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spr. zmiany Regulaminu konkursu 01_6.2.2_22_Zał. nr 2</dc:title>
  <dc:subject>ZWP 2022 Uchwały i Informacje</dc:subject>
  <dc:creator>Bizub-Jechna Anna</dc:creator>
  <cp:keywords>Załącznik,nr,2</cp:keywords>
  <cp:lastModifiedBy>Anna Rozental</cp:lastModifiedBy>
  <cp:revision>2</cp:revision>
  <cp:lastPrinted>2025-04-03T05:37:00Z</cp:lastPrinted>
  <dcterms:created xsi:type="dcterms:W3CDTF">2025-04-05T16:57:00Z</dcterms:created>
  <dcterms:modified xsi:type="dcterms:W3CDTF">2025-04-05T16:57:00Z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</Properties>
</file>